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7A9" w:rsidRPr="00510D16" w:rsidRDefault="006977A9" w:rsidP="006977A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0D16">
        <w:rPr>
          <w:rFonts w:ascii="Arial" w:hAnsi="Arial" w:cs="Arial"/>
          <w:b/>
          <w:sz w:val="24"/>
          <w:szCs w:val="24"/>
          <w:u w:val="single"/>
        </w:rPr>
        <w:t>PROJECT NO. IAF/</w:t>
      </w:r>
      <w:r>
        <w:rPr>
          <w:rFonts w:ascii="Arial" w:hAnsi="Arial" w:cs="Arial"/>
          <w:b/>
          <w:sz w:val="24"/>
          <w:szCs w:val="24"/>
          <w:u w:val="single"/>
        </w:rPr>
        <w:t>15</w:t>
      </w:r>
    </w:p>
    <w:p w:rsidR="003C21B9" w:rsidRDefault="006977A9" w:rsidP="006977A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10D16">
        <w:rPr>
          <w:rFonts w:ascii="Arial" w:hAnsi="Arial" w:cs="Arial"/>
          <w:b/>
          <w:sz w:val="24"/>
          <w:szCs w:val="24"/>
          <w:u w:val="single"/>
        </w:rPr>
        <w:t xml:space="preserve">BRIEF </w:t>
      </w:r>
      <w:r w:rsidRPr="006977A9">
        <w:rPr>
          <w:rFonts w:ascii="Arial" w:hAnsi="Arial" w:cs="Arial"/>
          <w:b/>
          <w:sz w:val="24"/>
          <w:szCs w:val="24"/>
          <w:u w:val="single"/>
        </w:rPr>
        <w:t>ON LONG RANGE AIR-AIR BEYOND VISUAL RANGE (BVR) MISSILES FOR EMPLOYMENT FROM FIGHTER AIRCRAFT OF THE IAF</w:t>
      </w:r>
    </w:p>
    <w:p w:rsidR="006977A9" w:rsidRPr="001C40B1" w:rsidRDefault="006977A9" w:rsidP="006977A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450"/>
        <w:gridCol w:w="9110"/>
      </w:tblGrid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11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b/>
                <w:sz w:val="24"/>
                <w:szCs w:val="24"/>
              </w:rPr>
              <w:t>Name of Potential Project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0" w:type="dxa"/>
          </w:tcPr>
          <w:p w:rsidR="00165A18" w:rsidRPr="001C40B1" w:rsidRDefault="008A56CA" w:rsidP="008A56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56CA">
              <w:rPr>
                <w:rFonts w:ascii="Arial" w:hAnsi="Arial" w:cs="Arial"/>
                <w:sz w:val="24"/>
                <w:szCs w:val="24"/>
              </w:rPr>
              <w:t xml:space="preserve">Long range </w:t>
            </w:r>
            <w:r>
              <w:rPr>
                <w:rFonts w:ascii="Arial" w:hAnsi="Arial" w:cs="Arial"/>
                <w:sz w:val="24"/>
                <w:szCs w:val="24"/>
              </w:rPr>
              <w:t xml:space="preserve">Air-Air </w:t>
            </w:r>
            <w:r w:rsidRPr="008A56CA">
              <w:rPr>
                <w:rFonts w:ascii="Arial" w:hAnsi="Arial" w:cs="Arial"/>
                <w:sz w:val="24"/>
                <w:szCs w:val="24"/>
              </w:rPr>
              <w:t>Beyond Visual Range (BVR</w:t>
            </w:r>
            <w:r>
              <w:rPr>
                <w:rFonts w:ascii="Arial" w:hAnsi="Arial" w:cs="Arial"/>
                <w:sz w:val="24"/>
                <w:szCs w:val="24"/>
              </w:rPr>
              <w:t>) M</w:t>
            </w:r>
            <w:r w:rsidRPr="008A56CA">
              <w:rPr>
                <w:rFonts w:ascii="Arial" w:hAnsi="Arial" w:cs="Arial"/>
                <w:sz w:val="24"/>
                <w:szCs w:val="24"/>
              </w:rPr>
              <w:t>issiles for employment from fighter aircraft of the IAF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11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40B1">
              <w:rPr>
                <w:rFonts w:ascii="Arial" w:hAnsi="Arial" w:cs="Arial"/>
                <w:b/>
                <w:sz w:val="24"/>
                <w:szCs w:val="24"/>
              </w:rPr>
              <w:t>Brief about the project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0" w:type="dxa"/>
          </w:tcPr>
          <w:p w:rsidR="00165A18" w:rsidRPr="001C40B1" w:rsidRDefault="00D947C3" w:rsidP="008A56CA">
            <w:pPr>
              <w:spacing w:after="24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 xml:space="preserve">MoD, </w:t>
            </w:r>
            <w:proofErr w:type="spellStart"/>
            <w:r w:rsidRPr="001C40B1">
              <w:rPr>
                <w:rFonts w:ascii="Arial" w:hAnsi="Arial" w:cs="Arial"/>
                <w:sz w:val="24"/>
                <w:szCs w:val="24"/>
              </w:rPr>
              <w:t>GoI</w:t>
            </w:r>
            <w:proofErr w:type="spellEnd"/>
            <w:r w:rsidRPr="001C40B1">
              <w:rPr>
                <w:rFonts w:ascii="Arial" w:hAnsi="Arial" w:cs="Arial"/>
                <w:sz w:val="24"/>
                <w:szCs w:val="24"/>
              </w:rPr>
              <w:t xml:space="preserve"> intends to procure </w:t>
            </w:r>
            <w:r w:rsidR="008A56CA">
              <w:rPr>
                <w:rFonts w:ascii="Arial" w:hAnsi="Arial" w:cs="Arial"/>
                <w:sz w:val="24"/>
                <w:szCs w:val="24"/>
              </w:rPr>
              <w:t>Air-Air BVR missiles</w:t>
            </w:r>
            <w:r w:rsidRPr="001C40B1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FE1DD7">
              <w:rPr>
                <w:rFonts w:ascii="Arial" w:hAnsi="Arial" w:cs="Arial"/>
                <w:sz w:val="24"/>
                <w:szCs w:val="24"/>
              </w:rPr>
              <w:t xml:space="preserve">These </w:t>
            </w:r>
            <w:r w:rsidR="008A56CA">
              <w:rPr>
                <w:rFonts w:ascii="Arial" w:hAnsi="Arial" w:cs="Arial"/>
                <w:sz w:val="24"/>
                <w:szCs w:val="24"/>
              </w:rPr>
              <w:t xml:space="preserve">missiles </w:t>
            </w:r>
            <w:r w:rsidRPr="001C40B1">
              <w:rPr>
                <w:rFonts w:ascii="Arial" w:hAnsi="Arial" w:cs="Arial"/>
                <w:sz w:val="24"/>
                <w:szCs w:val="24"/>
              </w:rPr>
              <w:t xml:space="preserve">are proposed to be </w:t>
            </w:r>
            <w:r w:rsidR="00C157AE">
              <w:rPr>
                <w:rFonts w:ascii="Arial" w:hAnsi="Arial" w:cs="Arial"/>
                <w:sz w:val="24"/>
                <w:szCs w:val="24"/>
              </w:rPr>
              <w:t xml:space="preserve">indigenously </w:t>
            </w:r>
            <w:r w:rsidRPr="001C40B1">
              <w:rPr>
                <w:rFonts w:ascii="Arial" w:hAnsi="Arial" w:cs="Arial"/>
                <w:sz w:val="24"/>
                <w:szCs w:val="24"/>
              </w:rPr>
              <w:t>develo</w:t>
            </w:r>
            <w:r w:rsidR="00C157AE">
              <w:rPr>
                <w:rFonts w:ascii="Arial" w:hAnsi="Arial" w:cs="Arial"/>
                <w:sz w:val="24"/>
                <w:szCs w:val="24"/>
              </w:rPr>
              <w:t xml:space="preserve">ped and manufactured under the </w:t>
            </w:r>
            <w:r w:rsidRPr="001C40B1">
              <w:rPr>
                <w:rFonts w:ascii="Arial" w:hAnsi="Arial" w:cs="Arial"/>
                <w:sz w:val="24"/>
                <w:szCs w:val="24"/>
              </w:rPr>
              <w:t>Make category of the DPP</w:t>
            </w:r>
            <w:r w:rsidR="00CE183F" w:rsidRPr="001C40B1">
              <w:rPr>
                <w:rFonts w:ascii="Arial" w:hAnsi="Arial" w:cs="Arial"/>
                <w:sz w:val="24"/>
                <w:szCs w:val="24"/>
              </w:rPr>
              <w:t>-2016</w:t>
            </w:r>
            <w:r w:rsidRPr="001C40B1">
              <w:rPr>
                <w:rFonts w:ascii="Arial" w:hAnsi="Arial" w:cs="Arial"/>
                <w:sz w:val="24"/>
                <w:szCs w:val="24"/>
              </w:rPr>
              <w:t>.</w:t>
            </w:r>
            <w:r w:rsidR="003A735C" w:rsidRPr="001C40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11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40B1">
              <w:rPr>
                <w:rFonts w:ascii="Arial" w:hAnsi="Arial" w:cs="Arial"/>
                <w:b/>
                <w:sz w:val="24"/>
                <w:szCs w:val="24"/>
              </w:rPr>
              <w:t>Broad specifications / PSQRs which can be shared with the Industry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0" w:type="dxa"/>
          </w:tcPr>
          <w:p w:rsidR="00FE1DD7" w:rsidRDefault="008A56CA" w:rsidP="003A73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BVR Missile</w:t>
            </w:r>
          </w:p>
          <w:p w:rsidR="00FE1DD7" w:rsidRPr="00FE1DD7" w:rsidRDefault="00FE1DD7" w:rsidP="003A735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C21B9" w:rsidRPr="001C40B1" w:rsidRDefault="00FE1DD7" w:rsidP="00FE1DD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A56CA">
              <w:rPr>
                <w:rFonts w:ascii="Arial" w:hAnsi="Arial" w:cs="Arial"/>
                <w:sz w:val="24"/>
                <w:szCs w:val="24"/>
              </w:rPr>
              <w:t xml:space="preserve">The BVR missile should use </w:t>
            </w:r>
            <w:r w:rsidR="00AD7762">
              <w:rPr>
                <w:rFonts w:ascii="Arial" w:hAnsi="Arial" w:cs="Arial"/>
                <w:sz w:val="24"/>
                <w:szCs w:val="24"/>
              </w:rPr>
              <w:t xml:space="preserve">latest technology to assure </w:t>
            </w:r>
            <w:r w:rsidR="00083220">
              <w:rPr>
                <w:rFonts w:ascii="Arial" w:hAnsi="Arial" w:cs="Arial"/>
                <w:sz w:val="24"/>
                <w:szCs w:val="24"/>
              </w:rPr>
              <w:t xml:space="preserve">long range and </w:t>
            </w:r>
            <w:r w:rsidR="00AD7762">
              <w:rPr>
                <w:rFonts w:ascii="Arial" w:hAnsi="Arial" w:cs="Arial"/>
                <w:sz w:val="24"/>
                <w:szCs w:val="24"/>
              </w:rPr>
              <w:t>superior ‘end game manoeuvring’</w:t>
            </w:r>
            <w:r w:rsidR="00083220">
              <w:rPr>
                <w:rFonts w:ascii="Arial" w:hAnsi="Arial" w:cs="Arial"/>
                <w:sz w:val="24"/>
                <w:szCs w:val="24"/>
              </w:rPr>
              <w:t>/’No Escape Zone’</w:t>
            </w:r>
            <w:r w:rsidR="00AD77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47C3" w:rsidRPr="00083AFC" w:rsidRDefault="00D947C3" w:rsidP="00FE1DD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(b)</w:t>
            </w:r>
            <w:r w:rsidRPr="001C40B1">
              <w:rPr>
                <w:rFonts w:ascii="Arial" w:hAnsi="Arial" w:cs="Arial"/>
                <w:sz w:val="24"/>
                <w:szCs w:val="24"/>
              </w:rPr>
              <w:tab/>
            </w:r>
            <w:r w:rsidR="008A56CA">
              <w:rPr>
                <w:rFonts w:ascii="Arial" w:hAnsi="Arial" w:cs="Arial"/>
                <w:sz w:val="24"/>
                <w:szCs w:val="24"/>
              </w:rPr>
              <w:t xml:space="preserve">The missile should be able to engage the target at the ranges of at least 160 Km when launched at </w:t>
            </w:r>
            <w:r w:rsidR="00083220">
              <w:rPr>
                <w:rFonts w:ascii="Arial" w:hAnsi="Arial" w:cs="Arial"/>
                <w:sz w:val="24"/>
                <w:szCs w:val="24"/>
              </w:rPr>
              <w:t>less than 2 M speed</w:t>
            </w:r>
            <w:r w:rsidR="008A56CA">
              <w:rPr>
                <w:rFonts w:ascii="Arial" w:hAnsi="Arial" w:cs="Arial"/>
                <w:sz w:val="24"/>
                <w:szCs w:val="24"/>
              </w:rPr>
              <w:t xml:space="preserve"> at a target with </w:t>
            </w:r>
            <w:r w:rsidR="00083220">
              <w:rPr>
                <w:rFonts w:ascii="Arial" w:hAnsi="Arial" w:cs="Arial"/>
                <w:sz w:val="24"/>
                <w:szCs w:val="24"/>
              </w:rPr>
              <w:t xml:space="preserve">similar </w:t>
            </w:r>
            <w:r w:rsidR="008A56CA">
              <w:rPr>
                <w:rFonts w:ascii="Arial" w:hAnsi="Arial" w:cs="Arial"/>
                <w:sz w:val="24"/>
                <w:szCs w:val="24"/>
              </w:rPr>
              <w:t>parameters</w:t>
            </w:r>
            <w:r w:rsidR="00083AF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947C3" w:rsidRPr="00792E86" w:rsidRDefault="00D947C3" w:rsidP="00FE1DD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(c)</w:t>
            </w:r>
            <w:r w:rsidRPr="001C40B1">
              <w:rPr>
                <w:rFonts w:ascii="Arial" w:hAnsi="Arial" w:cs="Arial"/>
                <w:sz w:val="24"/>
                <w:szCs w:val="24"/>
              </w:rPr>
              <w:tab/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>Missile design should allow rail as well as ejector launch.</w:t>
            </w:r>
          </w:p>
          <w:p w:rsidR="00D947C3" w:rsidRPr="004F3169" w:rsidRDefault="00D947C3" w:rsidP="00FE1DD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169">
              <w:rPr>
                <w:rFonts w:ascii="Arial" w:hAnsi="Arial" w:cs="Arial"/>
                <w:sz w:val="24"/>
                <w:szCs w:val="24"/>
              </w:rPr>
              <w:t>(d)</w:t>
            </w:r>
            <w:r w:rsidRPr="004F3169">
              <w:rPr>
                <w:rFonts w:ascii="Arial" w:hAnsi="Arial" w:cs="Arial"/>
                <w:sz w:val="24"/>
                <w:szCs w:val="24"/>
              </w:rPr>
              <w:tab/>
            </w:r>
            <w:r w:rsidR="00C157AE" w:rsidRPr="004F316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>missile</w:t>
            </w:r>
            <w:r w:rsidR="00C157AE" w:rsidRPr="004F31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 w:rsidR="00C157AE" w:rsidRPr="004F3169">
              <w:rPr>
                <w:rFonts w:ascii="Arial" w:hAnsi="Arial" w:cs="Arial"/>
                <w:sz w:val="24"/>
                <w:szCs w:val="24"/>
              </w:rPr>
              <w:t>interface with the aircraft through 1553B interface bus for transfer of information to and from the aircraft</w:t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 xml:space="preserve"> and follow MIL STD 1760 for information exchange</w:t>
            </w:r>
            <w:r w:rsidR="00C157AE" w:rsidRPr="004F316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D3EAC" w:rsidRPr="004F3169" w:rsidRDefault="00DB648E" w:rsidP="00FE1DD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169">
              <w:rPr>
                <w:rFonts w:ascii="Arial" w:hAnsi="Arial" w:cs="Arial"/>
                <w:sz w:val="24"/>
                <w:szCs w:val="24"/>
              </w:rPr>
              <w:t>(e)</w:t>
            </w:r>
            <w:r w:rsidRPr="004F3169">
              <w:rPr>
                <w:rFonts w:ascii="Arial" w:hAnsi="Arial" w:cs="Arial"/>
                <w:sz w:val="24"/>
                <w:szCs w:val="24"/>
              </w:rPr>
              <w:tab/>
            </w:r>
            <w:r w:rsidR="00C157AE" w:rsidRPr="004F3169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>missile</w:t>
            </w:r>
            <w:r w:rsidR="00C157AE" w:rsidRPr="004F3169">
              <w:rPr>
                <w:rFonts w:ascii="Arial" w:hAnsi="Arial" w:cs="Arial"/>
                <w:sz w:val="24"/>
                <w:szCs w:val="24"/>
              </w:rPr>
              <w:t xml:space="preserve"> should have I level testing facility </w:t>
            </w:r>
            <w:r w:rsidR="00083220">
              <w:rPr>
                <w:rFonts w:ascii="Arial" w:hAnsi="Arial" w:cs="Arial"/>
                <w:sz w:val="24"/>
                <w:szCs w:val="24"/>
              </w:rPr>
              <w:t xml:space="preserve">at bases </w:t>
            </w:r>
            <w:r w:rsidR="00C157AE" w:rsidRPr="004F3169">
              <w:rPr>
                <w:rFonts w:ascii="Arial" w:hAnsi="Arial" w:cs="Arial"/>
                <w:sz w:val="24"/>
                <w:szCs w:val="24"/>
              </w:rPr>
              <w:t xml:space="preserve">and D level </w:t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>repair facility in IAF.</w:t>
            </w:r>
          </w:p>
          <w:p w:rsidR="004F3169" w:rsidRPr="004F3169" w:rsidRDefault="002D3EAC" w:rsidP="004F31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169">
              <w:rPr>
                <w:rFonts w:ascii="Arial" w:hAnsi="Arial" w:cs="Arial"/>
                <w:sz w:val="24"/>
                <w:szCs w:val="24"/>
              </w:rPr>
              <w:t>(f)</w:t>
            </w:r>
            <w:r w:rsidRPr="004F3169">
              <w:rPr>
                <w:rFonts w:ascii="Arial" w:hAnsi="Arial" w:cs="Arial"/>
                <w:sz w:val="24"/>
                <w:szCs w:val="24"/>
              </w:rPr>
              <w:tab/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 xml:space="preserve">The missile should be fitted with all-weather active radar proximity fuse to detect the target and provide a firing pulse to initiate detonation of the warhead.  </w:t>
            </w:r>
          </w:p>
          <w:p w:rsidR="004F3169" w:rsidRDefault="00C44E18" w:rsidP="004F31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3169">
              <w:rPr>
                <w:rFonts w:ascii="Arial" w:hAnsi="Arial" w:cs="Arial"/>
                <w:sz w:val="24"/>
                <w:szCs w:val="24"/>
              </w:rPr>
              <w:t>(g)</w:t>
            </w:r>
            <w:r w:rsidRPr="004F3169">
              <w:rPr>
                <w:rFonts w:ascii="Arial" w:hAnsi="Arial" w:cs="Arial"/>
                <w:sz w:val="24"/>
                <w:szCs w:val="24"/>
              </w:rPr>
              <w:tab/>
            </w:r>
            <w:r w:rsidR="004F3169" w:rsidRPr="004F3169">
              <w:rPr>
                <w:rFonts w:ascii="Arial" w:hAnsi="Arial" w:cs="Arial"/>
                <w:sz w:val="24"/>
                <w:szCs w:val="24"/>
              </w:rPr>
              <w:t>Data link transmitter to be exclusively designed and installed by the missile OEM on the launch aircraft. Data link receiver in the missile should provide a comical signal reception around the missile axis to the rear.</w:t>
            </w:r>
            <w:r w:rsidR="00AD7762">
              <w:rPr>
                <w:rFonts w:ascii="Arial" w:hAnsi="Arial" w:cs="Arial"/>
                <w:sz w:val="24"/>
                <w:szCs w:val="24"/>
              </w:rPr>
              <w:t xml:space="preserve"> The data link should preferably be two way data link operating in </w:t>
            </w:r>
            <w:r w:rsidR="006977A9">
              <w:rPr>
                <w:rFonts w:ascii="Arial" w:hAnsi="Arial" w:cs="Arial"/>
                <w:sz w:val="24"/>
                <w:szCs w:val="24"/>
              </w:rPr>
              <w:t>L</w:t>
            </w:r>
            <w:r w:rsidR="00AD7762">
              <w:rPr>
                <w:rFonts w:ascii="Arial" w:hAnsi="Arial" w:cs="Arial"/>
                <w:sz w:val="24"/>
                <w:szCs w:val="24"/>
              </w:rPr>
              <w:t xml:space="preserve"> band.</w:t>
            </w:r>
          </w:p>
          <w:p w:rsidR="00FE1DD7" w:rsidRDefault="004F3169" w:rsidP="004F31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(h)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A56CA">
              <w:rPr>
                <w:rFonts w:ascii="Arial" w:hAnsi="Arial" w:cs="Arial"/>
                <w:sz w:val="24"/>
                <w:szCs w:val="24"/>
              </w:rPr>
              <w:t xml:space="preserve">Vendor should be able to integrate the missile on at least one fighter aircraft </w:t>
            </w:r>
            <w:r w:rsidR="00083220">
              <w:rPr>
                <w:rFonts w:ascii="Arial" w:hAnsi="Arial" w:cs="Arial"/>
                <w:sz w:val="24"/>
                <w:szCs w:val="24"/>
              </w:rPr>
              <w:t xml:space="preserve">platform </w:t>
            </w:r>
            <w:r w:rsidR="008A56CA">
              <w:rPr>
                <w:rFonts w:ascii="Arial" w:hAnsi="Arial" w:cs="Arial"/>
                <w:sz w:val="24"/>
                <w:szCs w:val="24"/>
              </w:rPr>
              <w:t>specified by the IAF during prototype development phase. Thereafter, the missile should be integrated on other platforms supporting the missile interface requirements.</w:t>
            </w:r>
          </w:p>
          <w:p w:rsidR="004F3169" w:rsidRDefault="004F3169" w:rsidP="004F31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(j)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Missile should have own Inertial Navigation System (INS).  The missile INS should be able to synchronize with the aircraft INS almost instantaneously.</w:t>
            </w:r>
          </w:p>
          <w:p w:rsidR="004F3169" w:rsidRDefault="004F3169" w:rsidP="004F316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(k)</w:t>
            </w:r>
            <w:r>
              <w:rPr>
                <w:rFonts w:ascii="Arial" w:hAnsi="Arial" w:cs="Arial"/>
                <w:sz w:val="24"/>
                <w:szCs w:val="24"/>
              </w:rPr>
              <w:tab/>
              <w:t>Missile should have seeker with Lock-On After Launch (LOAL) capability.  Launch aircraft will support the missile in flight until seeker acquisition through data link.</w:t>
            </w:r>
            <w:r w:rsidR="00AD7762">
              <w:rPr>
                <w:rFonts w:ascii="Arial" w:hAnsi="Arial" w:cs="Arial"/>
                <w:sz w:val="24"/>
                <w:szCs w:val="24"/>
              </w:rPr>
              <w:t xml:space="preserve"> The seeker should be of latest technology with RF only or with RF+IR combination to assure better detection.</w:t>
            </w:r>
          </w:p>
          <w:p w:rsidR="009C4A1C" w:rsidRDefault="00083220" w:rsidP="009C4A1C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</w:t>
            </w:r>
            <w:r w:rsidR="009C4A1C">
              <w:rPr>
                <w:rFonts w:ascii="Arial" w:hAnsi="Arial" w:cs="Arial"/>
                <w:sz w:val="24"/>
                <w:szCs w:val="24"/>
              </w:rPr>
              <w:t>)</w:t>
            </w:r>
            <w:r w:rsidR="009C4A1C">
              <w:rPr>
                <w:rFonts w:ascii="Arial" w:hAnsi="Arial" w:cs="Arial"/>
                <w:sz w:val="24"/>
                <w:szCs w:val="24"/>
              </w:rPr>
              <w:tab/>
              <w:t>The missile should be all weather and have capabilities of all aspect shoot up/down, multi target engagement, ‘fire and forget’ operation, data link, anti-jamming &amp; jamming resistance capabilities.</w:t>
            </w:r>
          </w:p>
          <w:p w:rsidR="009C4A1C" w:rsidRPr="008A56CA" w:rsidRDefault="00083220" w:rsidP="0008322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</w:t>
            </w:r>
            <w:r w:rsidR="009C4A1C">
              <w:rPr>
                <w:rFonts w:ascii="Arial" w:hAnsi="Arial" w:cs="Arial"/>
                <w:sz w:val="24"/>
                <w:szCs w:val="24"/>
              </w:rPr>
              <w:t>)</w:t>
            </w:r>
            <w:r w:rsidR="009C4A1C">
              <w:rPr>
                <w:rFonts w:ascii="Arial" w:hAnsi="Arial" w:cs="Arial"/>
                <w:sz w:val="24"/>
                <w:szCs w:val="24"/>
              </w:rPr>
              <w:tab/>
              <w:t xml:space="preserve">Missile should be able to function in two modes viz normal mode where the target data is provided by the launch aircraft via the data-link till the target </w:t>
            </w:r>
            <w:r w:rsidR="009C4A1C">
              <w:rPr>
                <w:rFonts w:ascii="Arial" w:hAnsi="Arial" w:cs="Arial"/>
                <w:sz w:val="24"/>
                <w:szCs w:val="24"/>
              </w:rPr>
              <w:lastRenderedPageBreak/>
              <w:t xml:space="preserve">acquisition by the </w:t>
            </w:r>
            <w:r>
              <w:rPr>
                <w:rFonts w:ascii="Arial" w:hAnsi="Arial" w:cs="Arial"/>
                <w:sz w:val="24"/>
                <w:szCs w:val="24"/>
              </w:rPr>
              <w:t xml:space="preserve">missile </w:t>
            </w:r>
            <w:r w:rsidR="009C4A1C">
              <w:rPr>
                <w:rFonts w:ascii="Arial" w:hAnsi="Arial" w:cs="Arial"/>
                <w:sz w:val="24"/>
                <w:szCs w:val="24"/>
              </w:rPr>
              <w:t>seeker and Fire and Forget mode if necessary in tactical situation.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911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40B1">
              <w:rPr>
                <w:rFonts w:ascii="Arial" w:hAnsi="Arial" w:cs="Arial"/>
                <w:b/>
                <w:sz w:val="24"/>
                <w:szCs w:val="24"/>
              </w:rPr>
              <w:t>Tentative quantity to be procured after successful prototype development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0" w:type="dxa"/>
          </w:tcPr>
          <w:p w:rsidR="003C21B9" w:rsidRPr="001C40B1" w:rsidRDefault="004453DC" w:rsidP="00C44E18">
            <w:pPr>
              <w:pStyle w:val="ListParagraph"/>
              <w:numPr>
                <w:ilvl w:val="0"/>
                <w:numId w:val="5"/>
              </w:numPr>
              <w:ind w:left="10" w:hanging="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Immediate requirement:</w:t>
            </w:r>
            <w:r w:rsidR="000D5897" w:rsidRPr="001C4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E18">
              <w:rPr>
                <w:rFonts w:ascii="Arial" w:hAnsi="Arial" w:cs="Arial"/>
                <w:sz w:val="24"/>
                <w:szCs w:val="24"/>
              </w:rPr>
              <w:t xml:space="preserve">Approx </w:t>
            </w:r>
            <w:r w:rsidR="00AD7762">
              <w:rPr>
                <w:rFonts w:ascii="Arial" w:hAnsi="Arial" w:cs="Arial"/>
                <w:sz w:val="24"/>
                <w:szCs w:val="24"/>
              </w:rPr>
              <w:t>5</w:t>
            </w:r>
            <w:r w:rsidR="008A56CA">
              <w:rPr>
                <w:rFonts w:ascii="Arial" w:hAnsi="Arial" w:cs="Arial"/>
                <w:sz w:val="24"/>
                <w:szCs w:val="24"/>
              </w:rPr>
              <w:t>00</w:t>
            </w:r>
            <w:r w:rsidR="00C44E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6CA">
              <w:rPr>
                <w:rFonts w:ascii="Arial" w:hAnsi="Arial" w:cs="Arial"/>
                <w:sz w:val="24"/>
                <w:szCs w:val="24"/>
              </w:rPr>
              <w:t>missiles</w:t>
            </w:r>
            <w:r w:rsidR="00083A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E18">
              <w:rPr>
                <w:rFonts w:ascii="Arial" w:hAnsi="Arial" w:cs="Arial"/>
                <w:sz w:val="24"/>
                <w:szCs w:val="24"/>
              </w:rPr>
              <w:t xml:space="preserve">with associated </w:t>
            </w:r>
            <w:r w:rsidR="00083AFC">
              <w:rPr>
                <w:rFonts w:ascii="Arial" w:hAnsi="Arial" w:cs="Arial"/>
                <w:sz w:val="24"/>
                <w:szCs w:val="24"/>
              </w:rPr>
              <w:t>‘</w:t>
            </w:r>
            <w:r w:rsidR="00C44E18">
              <w:rPr>
                <w:rFonts w:ascii="Arial" w:hAnsi="Arial" w:cs="Arial"/>
                <w:sz w:val="24"/>
                <w:szCs w:val="24"/>
              </w:rPr>
              <w:t>I</w:t>
            </w:r>
            <w:r w:rsidR="00083AFC">
              <w:rPr>
                <w:rFonts w:ascii="Arial" w:hAnsi="Arial" w:cs="Arial"/>
                <w:sz w:val="24"/>
                <w:szCs w:val="24"/>
              </w:rPr>
              <w:t>’</w:t>
            </w:r>
            <w:r w:rsidR="00C44E18">
              <w:rPr>
                <w:rFonts w:ascii="Arial" w:hAnsi="Arial" w:cs="Arial"/>
                <w:sz w:val="24"/>
                <w:szCs w:val="24"/>
              </w:rPr>
              <w:t xml:space="preserve"> level and </w:t>
            </w:r>
            <w:r w:rsidR="00083AFC">
              <w:rPr>
                <w:rFonts w:ascii="Arial" w:hAnsi="Arial" w:cs="Arial"/>
                <w:sz w:val="24"/>
                <w:szCs w:val="24"/>
              </w:rPr>
              <w:t>‘</w:t>
            </w:r>
            <w:r w:rsidR="00C44E18">
              <w:rPr>
                <w:rFonts w:ascii="Arial" w:hAnsi="Arial" w:cs="Arial"/>
                <w:sz w:val="24"/>
                <w:szCs w:val="24"/>
              </w:rPr>
              <w:t>D</w:t>
            </w:r>
            <w:r w:rsidR="00083AFC">
              <w:rPr>
                <w:rFonts w:ascii="Arial" w:hAnsi="Arial" w:cs="Arial"/>
                <w:sz w:val="24"/>
                <w:szCs w:val="24"/>
              </w:rPr>
              <w:t>’</w:t>
            </w:r>
            <w:r w:rsidR="00C44E18">
              <w:rPr>
                <w:rFonts w:ascii="Arial" w:hAnsi="Arial" w:cs="Arial"/>
                <w:sz w:val="24"/>
                <w:szCs w:val="24"/>
              </w:rPr>
              <w:t xml:space="preserve"> level facilities</w:t>
            </w:r>
            <w:r w:rsidR="00A637BA" w:rsidRPr="001C40B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453DC" w:rsidRPr="001C40B1" w:rsidRDefault="004453DC" w:rsidP="004453DC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4F2C" w:rsidRPr="00C44E18" w:rsidRDefault="004453DC" w:rsidP="00C44E18">
            <w:pPr>
              <w:pStyle w:val="ListParagraph"/>
              <w:numPr>
                <w:ilvl w:val="0"/>
                <w:numId w:val="5"/>
              </w:numPr>
              <w:spacing w:after="240"/>
              <w:ind w:left="11" w:hanging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 xml:space="preserve">Recurring requirement: </w:t>
            </w:r>
            <w:r w:rsidR="000D5897" w:rsidRPr="001C40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3EAC" w:rsidRPr="001C40B1">
              <w:rPr>
                <w:rFonts w:ascii="Arial" w:hAnsi="Arial" w:cs="Arial"/>
                <w:sz w:val="24"/>
                <w:szCs w:val="24"/>
              </w:rPr>
              <w:t>Spares sets and individual spares as per requirement</w:t>
            </w:r>
            <w:r w:rsidR="00A637BA" w:rsidRPr="001C40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11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40B1">
              <w:rPr>
                <w:rFonts w:ascii="Arial" w:hAnsi="Arial" w:cs="Arial"/>
                <w:b/>
                <w:sz w:val="24"/>
                <w:szCs w:val="24"/>
              </w:rPr>
              <w:t>Tentative timeline for induction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0" w:type="dxa"/>
          </w:tcPr>
          <w:p w:rsidR="003C21B9" w:rsidRPr="001C40B1" w:rsidRDefault="00C44E18" w:rsidP="00D94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2021 onwards</w:t>
            </w:r>
          </w:p>
          <w:p w:rsidR="00165A18" w:rsidRPr="001C40B1" w:rsidRDefault="00165A18" w:rsidP="00D94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0B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11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40B1">
              <w:rPr>
                <w:rFonts w:ascii="Arial" w:hAnsi="Arial" w:cs="Arial"/>
                <w:b/>
                <w:sz w:val="24"/>
                <w:szCs w:val="24"/>
              </w:rPr>
              <w:t>Any other relevant information</w:t>
            </w:r>
          </w:p>
        </w:tc>
      </w:tr>
      <w:tr w:rsidR="003C21B9" w:rsidRPr="001C40B1" w:rsidTr="003C21B9">
        <w:tc>
          <w:tcPr>
            <w:tcW w:w="450" w:type="dxa"/>
          </w:tcPr>
          <w:p w:rsidR="003C21B9" w:rsidRPr="001C40B1" w:rsidRDefault="003C21B9" w:rsidP="003C21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0" w:type="dxa"/>
          </w:tcPr>
          <w:p w:rsidR="00334F2C" w:rsidRPr="008A56CA" w:rsidRDefault="00037341" w:rsidP="008A56CA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Nil</w:t>
            </w:r>
          </w:p>
        </w:tc>
      </w:tr>
    </w:tbl>
    <w:p w:rsidR="00D947C3" w:rsidRPr="001C40B1" w:rsidRDefault="00D947C3" w:rsidP="003C21B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3C21B9" w:rsidRPr="001C40B1" w:rsidRDefault="002D3EAC" w:rsidP="002D3EAC">
      <w:pPr>
        <w:rPr>
          <w:rFonts w:ascii="Arial" w:hAnsi="Arial" w:cs="Arial"/>
          <w:sz w:val="24"/>
          <w:szCs w:val="24"/>
        </w:rPr>
      </w:pPr>
      <w:r w:rsidRPr="001C40B1">
        <w:rPr>
          <w:rFonts w:ascii="Arial" w:hAnsi="Arial" w:cs="Arial"/>
          <w:sz w:val="24"/>
          <w:szCs w:val="24"/>
        </w:rPr>
        <w:t xml:space="preserve"> </w:t>
      </w:r>
    </w:p>
    <w:sectPr w:rsidR="003C21B9" w:rsidRPr="001C40B1" w:rsidSect="004453D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5EE3"/>
    <w:multiLevelType w:val="hybridMultilevel"/>
    <w:tmpl w:val="36025EBE"/>
    <w:lvl w:ilvl="0" w:tplc="047665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8"/>
      </w:rPr>
    </w:lvl>
    <w:lvl w:ilvl="1" w:tplc="303A75CA">
      <w:start w:val="1"/>
      <w:numFmt w:val="lowerLetter"/>
      <w:lvlText w:val="(%2)"/>
      <w:lvlJc w:val="left"/>
      <w:pPr>
        <w:ind w:left="1080" w:hanging="360"/>
      </w:pPr>
      <w:rPr>
        <w:rFonts w:hint="default"/>
        <w:b w:val="0"/>
        <w:i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836B1"/>
    <w:multiLevelType w:val="hybridMultilevel"/>
    <w:tmpl w:val="0DB2B820"/>
    <w:lvl w:ilvl="0" w:tplc="ABF0C34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6DA1"/>
    <w:multiLevelType w:val="hybridMultilevel"/>
    <w:tmpl w:val="63A07592"/>
    <w:lvl w:ilvl="0" w:tplc="D1622C6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00C99"/>
    <w:multiLevelType w:val="hybridMultilevel"/>
    <w:tmpl w:val="4DEAA0E6"/>
    <w:lvl w:ilvl="0" w:tplc="D3E46A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E3910"/>
    <w:multiLevelType w:val="hybridMultilevel"/>
    <w:tmpl w:val="D8F24404"/>
    <w:lvl w:ilvl="0" w:tplc="047665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i w:val="0"/>
        <w:sz w:val="28"/>
      </w:rPr>
    </w:lvl>
    <w:lvl w:ilvl="1" w:tplc="4009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17C7D"/>
    <w:multiLevelType w:val="hybridMultilevel"/>
    <w:tmpl w:val="7220CD06"/>
    <w:lvl w:ilvl="0" w:tplc="87C87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D16ED"/>
    <w:multiLevelType w:val="hybridMultilevel"/>
    <w:tmpl w:val="7B887518"/>
    <w:lvl w:ilvl="0" w:tplc="EB04A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A14D4"/>
    <w:multiLevelType w:val="hybridMultilevel"/>
    <w:tmpl w:val="752EF9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FB5"/>
    <w:rsid w:val="00037341"/>
    <w:rsid w:val="00051C90"/>
    <w:rsid w:val="00083220"/>
    <w:rsid w:val="00083AFC"/>
    <w:rsid w:val="000955C5"/>
    <w:rsid w:val="000D5897"/>
    <w:rsid w:val="00165A18"/>
    <w:rsid w:val="00177D3D"/>
    <w:rsid w:val="00183404"/>
    <w:rsid w:val="001A76E3"/>
    <w:rsid w:val="001C40B1"/>
    <w:rsid w:val="00270E3B"/>
    <w:rsid w:val="002D3EAC"/>
    <w:rsid w:val="00334F2C"/>
    <w:rsid w:val="00347D23"/>
    <w:rsid w:val="003A735C"/>
    <w:rsid w:val="003C21B9"/>
    <w:rsid w:val="003E7893"/>
    <w:rsid w:val="00430896"/>
    <w:rsid w:val="00437505"/>
    <w:rsid w:val="004453DC"/>
    <w:rsid w:val="004E34E6"/>
    <w:rsid w:val="004F3169"/>
    <w:rsid w:val="005121B3"/>
    <w:rsid w:val="00554263"/>
    <w:rsid w:val="00557566"/>
    <w:rsid w:val="005A2B39"/>
    <w:rsid w:val="00603E9D"/>
    <w:rsid w:val="00620FB5"/>
    <w:rsid w:val="00635FE3"/>
    <w:rsid w:val="006977A9"/>
    <w:rsid w:val="00752AD6"/>
    <w:rsid w:val="007741D7"/>
    <w:rsid w:val="00792E86"/>
    <w:rsid w:val="008810ED"/>
    <w:rsid w:val="008A56CA"/>
    <w:rsid w:val="009C4A1C"/>
    <w:rsid w:val="009D3025"/>
    <w:rsid w:val="00A53B24"/>
    <w:rsid w:val="00A637BA"/>
    <w:rsid w:val="00AA4CB8"/>
    <w:rsid w:val="00AD7762"/>
    <w:rsid w:val="00B1038B"/>
    <w:rsid w:val="00BD433B"/>
    <w:rsid w:val="00C157AE"/>
    <w:rsid w:val="00C44E18"/>
    <w:rsid w:val="00C55F37"/>
    <w:rsid w:val="00C662E6"/>
    <w:rsid w:val="00CE183F"/>
    <w:rsid w:val="00D57566"/>
    <w:rsid w:val="00D947C3"/>
    <w:rsid w:val="00DB648E"/>
    <w:rsid w:val="00DF196E"/>
    <w:rsid w:val="00E333B2"/>
    <w:rsid w:val="00E64D43"/>
    <w:rsid w:val="00F70D53"/>
    <w:rsid w:val="00FA5F43"/>
    <w:rsid w:val="00FB55D6"/>
    <w:rsid w:val="00FC2C1F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E0BDA-EB63-429B-8EAA-14D8831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1B9"/>
    <w:pPr>
      <w:ind w:left="720"/>
      <w:contextualSpacing/>
    </w:pPr>
  </w:style>
  <w:style w:type="table" w:styleId="TableGrid">
    <w:name w:val="Table Grid"/>
    <w:basedOn w:val="TableNormal"/>
    <w:uiPriority w:val="59"/>
    <w:rsid w:val="003C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4A1C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97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23863</dc:creator>
  <cp:lastModifiedBy>poms</cp:lastModifiedBy>
  <cp:revision>6</cp:revision>
  <cp:lastPrinted>2016-09-28T08:45:00Z</cp:lastPrinted>
  <dcterms:created xsi:type="dcterms:W3CDTF">2017-07-27T09:45:00Z</dcterms:created>
  <dcterms:modified xsi:type="dcterms:W3CDTF">2017-12-21T09:22:00Z</dcterms:modified>
</cp:coreProperties>
</file>