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83" w:rsidRDefault="00FC61F6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61F6">
        <w:rPr>
          <w:rFonts w:ascii="Arial" w:hAnsi="Arial" w:cs="Arial"/>
          <w:b/>
          <w:sz w:val="32"/>
          <w:szCs w:val="32"/>
          <w:u w:val="single"/>
        </w:rPr>
        <w:t xml:space="preserve">Float Smoke and Flame A/C 3.5 </w:t>
      </w:r>
      <w:proofErr w:type="spellStart"/>
      <w:r w:rsidRPr="00FC61F6">
        <w:rPr>
          <w:rFonts w:ascii="Arial" w:hAnsi="Arial" w:cs="Arial"/>
          <w:b/>
          <w:sz w:val="32"/>
          <w:szCs w:val="32"/>
          <w:u w:val="single"/>
        </w:rPr>
        <w:t>lbs</w:t>
      </w:r>
      <w:proofErr w:type="spellEnd"/>
      <w:r w:rsidRPr="00FC61F6">
        <w:rPr>
          <w:rFonts w:ascii="Arial" w:hAnsi="Arial" w:cs="Arial"/>
          <w:b/>
          <w:sz w:val="32"/>
          <w:szCs w:val="32"/>
          <w:u w:val="single"/>
        </w:rPr>
        <w:t xml:space="preserve"> No.2 Mk2</w:t>
      </w:r>
    </w:p>
    <w:p w:rsidR="00FC61F6" w:rsidRDefault="00FC61F6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5BEF" w:rsidRDefault="00404C94" w:rsidP="00404C94">
      <w:pPr>
        <w:pStyle w:val="Default"/>
        <w:spacing w:line="360" w:lineRule="auto"/>
        <w:rPr>
          <w:b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E5AF4" w:rsidRPr="00D13B9A">
        <w:rPr>
          <w:b/>
          <w:u w:val="single"/>
        </w:rPr>
        <w:t>Brief Description/ Technical Details</w:t>
      </w:r>
      <w:r w:rsidR="007E5AF4">
        <w:rPr>
          <w:b/>
        </w:rPr>
        <w:t>.</w:t>
      </w:r>
      <w:r w:rsidR="007E5AF4">
        <w:rPr>
          <w:b/>
        </w:rPr>
        <w:tab/>
      </w:r>
    </w:p>
    <w:p w:rsidR="00A95EEB" w:rsidRDefault="00A95EEB" w:rsidP="00404C94">
      <w:pPr>
        <w:pStyle w:val="Default"/>
        <w:spacing w:line="360" w:lineRule="auto"/>
        <w:rPr>
          <w:b/>
        </w:rPr>
      </w:pPr>
    </w:p>
    <w:p w:rsidR="00FC61F6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FC61F6" w:rsidRPr="00F14166">
        <w:rPr>
          <w:rFonts w:ascii="Arial" w:hAnsi="Arial" w:cs="Arial"/>
          <w:sz w:val="24"/>
          <w:szCs w:val="24"/>
        </w:rPr>
        <w:t xml:space="preserve">The Float Smoke and Flame No.2 Mk 2 are devices which are used by the aircrafts/helicopters to indicate the position at sea. When dropped into water from aircraft they emit smoke and spontaneous inflammable </w:t>
      </w:r>
      <w:proofErr w:type="spellStart"/>
      <w:r w:rsidR="00FC61F6" w:rsidRPr="00F14166">
        <w:rPr>
          <w:rFonts w:ascii="Arial" w:hAnsi="Arial" w:cs="Arial"/>
          <w:sz w:val="24"/>
          <w:szCs w:val="24"/>
        </w:rPr>
        <w:t>vapour</w:t>
      </w:r>
      <w:proofErr w:type="spellEnd"/>
      <w:r w:rsidR="00FC61F6" w:rsidRPr="00F14166">
        <w:rPr>
          <w:rFonts w:ascii="Arial" w:hAnsi="Arial" w:cs="Arial"/>
          <w:sz w:val="24"/>
          <w:szCs w:val="24"/>
        </w:rPr>
        <w:t xml:space="preserve"> which illuminate the surrounding area</w:t>
      </w:r>
      <w:r w:rsidR="00FC61F6">
        <w:rPr>
          <w:rFonts w:ascii="Arial" w:hAnsi="Arial" w:cs="Arial"/>
          <w:sz w:val="24"/>
          <w:szCs w:val="24"/>
        </w:rPr>
        <w:t xml:space="preserve"> </w:t>
      </w:r>
    </w:p>
    <w:p w:rsidR="00A95EEB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FC61F6" w:rsidRPr="00F14166">
        <w:rPr>
          <w:rFonts w:ascii="Arial" w:hAnsi="Arial" w:cs="Arial"/>
          <w:sz w:val="24"/>
          <w:szCs w:val="24"/>
        </w:rPr>
        <w:t>The physical characteristics of Float smoke and flame No.2 Mk2 are mentioned below:-</w:t>
      </w:r>
    </w:p>
    <w:tbl>
      <w:tblPr>
        <w:tblStyle w:val="TableGrid"/>
        <w:tblpPr w:leftFromText="180" w:rightFromText="180" w:vertAnchor="text" w:horzAnchor="margin" w:tblpXSpec="right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937"/>
        <w:gridCol w:w="3354"/>
        <w:gridCol w:w="3354"/>
      </w:tblGrid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S No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Parameters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Specified Values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1416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141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17½inches(max)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Diameter 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3¼inches(max)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Diameter over tail fins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3.9inches(max)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Weight of filling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 w:rsidRPr="00F14166">
              <w:rPr>
                <w:rFonts w:ascii="Arial" w:hAnsi="Arial" w:cs="Arial"/>
                <w:sz w:val="24"/>
                <w:szCs w:val="24"/>
              </w:rPr>
              <w:t>Ozs</w:t>
            </w:r>
            <w:proofErr w:type="spellEnd"/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Effective duration of burning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06 min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Terminal Velocity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300 </w:t>
            </w:r>
            <w:proofErr w:type="spellStart"/>
            <w:r w:rsidRPr="00F14166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F14166">
              <w:rPr>
                <w:rFonts w:ascii="Arial" w:hAnsi="Arial" w:cs="Arial"/>
                <w:sz w:val="24"/>
                <w:szCs w:val="24"/>
              </w:rPr>
              <w:t>/sec</w:t>
            </w:r>
          </w:p>
        </w:tc>
      </w:tr>
      <w:tr w:rsidR="00FC61F6" w:rsidRPr="00F14166" w:rsidTr="00560524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 (vii)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Height of release            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400 m (max)</w:t>
            </w:r>
          </w:p>
        </w:tc>
      </w:tr>
    </w:tbl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F1782D">
      <w:pPr>
        <w:jc w:val="both"/>
        <w:rPr>
          <w:rFonts w:ascii="Arial" w:hAnsi="Arial" w:cs="Arial"/>
          <w:sz w:val="24"/>
          <w:szCs w:val="24"/>
        </w:rPr>
      </w:pPr>
    </w:p>
    <w:p w:rsidR="00A95EEB" w:rsidRDefault="00A95EEB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FC61F6" w:rsidRPr="00F14166">
        <w:rPr>
          <w:rFonts w:ascii="Arial" w:hAnsi="Arial" w:cs="Arial"/>
          <w:sz w:val="24"/>
          <w:szCs w:val="24"/>
        </w:rPr>
        <w:t>Necessary license for explosive ingredients are required to be obtained by the manufacturers.</w:t>
      </w:r>
      <w:r w:rsidR="00FC61F6">
        <w:rPr>
          <w:rFonts w:ascii="Arial" w:hAnsi="Arial" w:cs="Arial"/>
          <w:sz w:val="24"/>
          <w:szCs w:val="24"/>
        </w:rPr>
        <w:t xml:space="preserve"> </w:t>
      </w:r>
      <w:r w:rsidR="00FC61F6" w:rsidRPr="00F14166">
        <w:rPr>
          <w:rFonts w:ascii="Arial" w:hAnsi="Arial" w:cs="Arial"/>
          <w:sz w:val="24"/>
          <w:szCs w:val="24"/>
        </w:rPr>
        <w:t>During development necessary sample are required to be submitted by manufacturer for the fitment, functional trials, QT and ETs etc.</w:t>
      </w:r>
    </w:p>
    <w:p w:rsidR="00A95EEB" w:rsidRPr="00FC61F6" w:rsidRDefault="007E5AF4" w:rsidP="00FC61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201021" w:rsidRPr="00201021">
        <w:rPr>
          <w:rFonts w:ascii="Arial" w:hAnsi="Arial" w:cs="Arial"/>
          <w:b/>
          <w:bCs/>
          <w:sz w:val="24"/>
          <w:u w:val="single"/>
        </w:rPr>
        <w:t>Tentative</w:t>
      </w:r>
      <w:r w:rsidR="00201021" w:rsidRPr="00A95EEB">
        <w:rPr>
          <w:rFonts w:ascii="Arial" w:hAnsi="Arial" w:cs="Arial"/>
          <w:sz w:val="24"/>
          <w:u w:val="single"/>
        </w:rPr>
        <w:t xml:space="preserve"> </w:t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FC61F6">
        <w:rPr>
          <w:rFonts w:ascii="Arial" w:hAnsi="Arial" w:cs="Arial"/>
          <w:sz w:val="24"/>
          <w:szCs w:val="24"/>
        </w:rPr>
        <w:t>200/year</w:t>
      </w:r>
    </w:p>
    <w:p w:rsidR="00A95EEB" w:rsidRDefault="00A95EEB" w:rsidP="00A9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95EEB">
        <w:rPr>
          <w:rFonts w:ascii="Arial" w:hAnsi="Arial" w:cs="Arial"/>
          <w:b/>
          <w:bCs/>
          <w:sz w:val="24"/>
          <w:szCs w:val="24"/>
          <w:u w:val="single"/>
        </w:rPr>
        <w:t>Tentative Timeline for Development/ Production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Two- three years</w:t>
      </w:r>
    </w:p>
    <w:p w:rsidR="00A95EEB" w:rsidRPr="00A95EEB" w:rsidRDefault="00A95EEB" w:rsidP="00A95EE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CB9"/>
    <w:multiLevelType w:val="hybridMultilevel"/>
    <w:tmpl w:val="54E2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249"/>
    <w:multiLevelType w:val="hybridMultilevel"/>
    <w:tmpl w:val="988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E74"/>
    <w:multiLevelType w:val="hybridMultilevel"/>
    <w:tmpl w:val="8FC0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D3A49"/>
    <w:multiLevelType w:val="hybridMultilevel"/>
    <w:tmpl w:val="AAB0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73902"/>
    <w:multiLevelType w:val="hybridMultilevel"/>
    <w:tmpl w:val="1730DA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01021"/>
    <w:rsid w:val="00257A3E"/>
    <w:rsid w:val="00276102"/>
    <w:rsid w:val="00281E67"/>
    <w:rsid w:val="00290715"/>
    <w:rsid w:val="003547BD"/>
    <w:rsid w:val="003C50A6"/>
    <w:rsid w:val="00404C94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12CC8"/>
    <w:rsid w:val="006315F1"/>
    <w:rsid w:val="006922CF"/>
    <w:rsid w:val="00694476"/>
    <w:rsid w:val="006D1E65"/>
    <w:rsid w:val="006E1387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B2E94"/>
    <w:rsid w:val="009D1DEA"/>
    <w:rsid w:val="00A11BA3"/>
    <w:rsid w:val="00A25E3F"/>
    <w:rsid w:val="00A61253"/>
    <w:rsid w:val="00A95EEB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95BEF"/>
    <w:rsid w:val="00C97ECC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B7583"/>
    <w:rsid w:val="00EC61A7"/>
    <w:rsid w:val="00EE7B1C"/>
    <w:rsid w:val="00F01409"/>
    <w:rsid w:val="00F1782D"/>
    <w:rsid w:val="00F241EE"/>
    <w:rsid w:val="00FC5D04"/>
    <w:rsid w:val="00FC61F6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3726659N</dc:creator>
  <cp:lastModifiedBy>Barun Kumar HSK-I</cp:lastModifiedBy>
  <cp:revision>6</cp:revision>
  <cp:lastPrinted>2018-03-19T09:08:00Z</cp:lastPrinted>
  <dcterms:created xsi:type="dcterms:W3CDTF">2019-02-07T11:02:00Z</dcterms:created>
  <dcterms:modified xsi:type="dcterms:W3CDTF">2019-02-19T05:18:00Z</dcterms:modified>
</cp:coreProperties>
</file>